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MONITOROVACÍ LIST PODPOŘENÉ OSOBY</w:t>
      </w:r>
    </w:p>
    <w:tbl>
      <w:tblPr>
        <w:tblStyle w:val="Table1"/>
        <w:tblW w:w="970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5"/>
        <w:gridCol w:w="990"/>
        <w:gridCol w:w="285"/>
        <w:gridCol w:w="2700"/>
        <w:gridCol w:w="1560"/>
        <w:gridCol w:w="2175"/>
        <w:tblGridChange w:id="0">
          <w:tblGrid>
            <w:gridCol w:w="1995"/>
            <w:gridCol w:w="990"/>
            <w:gridCol w:w="285"/>
            <w:gridCol w:w="2700"/>
            <w:gridCol w:w="1560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Identifikace projektu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Registrační číslo projektu</w:t>
            </w:r>
          </w:p>
        </w:tc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CZ.03.02.01/00/22_008/0000038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Název projektu</w:t>
            </w:r>
          </w:p>
        </w:tc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Projekt OPZ+ MAS Východní Slovácko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Příjemce podpory (název)</w:t>
            </w:r>
          </w:p>
        </w:tc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 Východní Slovácko, z.s.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6"/>
            <w:shd w:fill="d9d9d9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Základní údaje o podpořené osobě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Jméno a příjmení </w:t>
            </w:r>
          </w:p>
        </w:tc>
        <w:tc>
          <w:tcPr>
            <w:gridSpan w:val="5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narození</w:t>
            </w:r>
          </w:p>
        </w:tc>
        <w:tc>
          <w:tcPr>
            <w:gridSpan w:val="5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restart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 trvalého pobytu</w:t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</w:t>
            </w:r>
          </w:p>
        </w:tc>
        <w:tc>
          <w:tcPr>
            <w:gridSpan w:val="2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Číslo popisné</w:t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Město</w:t>
            </w:r>
          </w:p>
        </w:tc>
        <w:tc>
          <w:tcPr>
            <w:gridSpan w:val="2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</w:t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3"/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1.0" w:type="dxa"/>
              <w:left w:w="57.0" w:type="dxa"/>
              <w:bottom w:w="1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7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7"/>
        <w:tblGridChange w:id="0">
          <w:tblGrid>
            <w:gridCol w:w="8997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Údaje zaznamenávané nejpozději před ukončením účasti osoby v projektu  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1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Stav je zjišťován k datu zahájení účasti osoby v projektu.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3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6510"/>
        <w:tblGridChange w:id="0">
          <w:tblGrid>
            <w:gridCol w:w="3255"/>
            <w:gridCol w:w="6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Pohlaví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Podpořená osoba může patřit pouze do jedné z vymezených skupin.</w:t>
            </w:r>
          </w:p>
        </w:tc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muž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žena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Postavení na trhu práce 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Podpořená osoba může patřit 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V případě souběhu se uvádí převažující charakteristika.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☐ zaměstnání, včetně osob samostatně výdělečně činných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36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zaměstnanci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36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samostatně výdělečně činné 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ind w:left="36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na mateřské dovolené, které byly před nástupem na MD zaměstnané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ind w:left="36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na mateřské dovolené, které byly před nástupem na MD OSVČ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☐ krátkodobě nezaměstnaní registrovaní na Úřadu práce ČR 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(tj. osoby registrované na ÚP ČR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méně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než 12 měsíců)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☐ dlouhodobě nezaměstnaní registrovaní na Úřadu práce ČR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(tj. osoby registrované na ÚP ČR 12 a více měsíců)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☐ neaktivní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ind w:left="70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žáci, studenti, učni (denní studium)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left="70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ve starobním důchodu, neregistrované na ÚP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ind w:left="70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v invalidním důchodu, neregistrované na ÚP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ind w:left="70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na rodičovské dovolené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ind w:left="70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ostatní neaktivní osoby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Nejvyšší dosažené vzdělání</w:t>
            </w:r>
          </w:p>
          <w:p w:rsidR="00000000" w:rsidDel="00000000" w:rsidP="00000000" w:rsidRDefault="00000000" w:rsidRPr="00000000" w14:paraId="0000005B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Podpořená osoba musí patřit do jedné z vymezených skupin.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bez vzdělání (nedokončený 1. stupeň základní školy)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základní vzdělání včetně nedokončeného 2. stupně ZŠ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středoškolské vzdělání vč. vyučení, maturity anebo pomaturitního studia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vyšší odborné, bakalářské, magisterské, doktorské studium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1"/>
              <w:spacing w:after="0" w:lineRule="auto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vzdělání jinde neuvedené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5" w:hRule="atLeast"/>
          <w:tblHeader w:val="0"/>
        </w:trPr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Znevýhodnění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Podpořená osoba může patřit do více vymezených skupin (příp. do žádné).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57.0" w:type="dxa"/>
              <w:bottom w:w="28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se zdravotním postižením**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národnostní menšiny (včetně marginalizovaných komunit jako jsou Romové)**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státní příslušníci třetích zemí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účastníci zahraničního původu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bez domova nebo osoby vyloučené z přístupu k bydlení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osoby s jiným znevýhodněním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☐ osoby po výkonu trestu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☐ osoby ohrožené závislostí 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☐ osoby s jiným znevýhodněním, kvůli kterému čelí        sociálnímu vyloučení </w:t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** Citlivé údaje – účastník může odmítnout je poskytnout.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5.0" w:type="dxa"/>
        <w:jc w:val="left"/>
        <w:tblInd w:w="-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0"/>
        <w:gridCol w:w="855"/>
        <w:gridCol w:w="4080"/>
        <w:tblGridChange w:id="0">
          <w:tblGrid>
            <w:gridCol w:w="4800"/>
            <w:gridCol w:w="855"/>
            <w:gridCol w:w="4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dne 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Podpis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20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810.0" w:type="dxa"/>
        <w:jc w:val="left"/>
        <w:tblInd w:w="-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8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Totožnost a kontaktní údaje správce osobních údajů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9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Ministerstvo práce a sociálních věcí</w:t>
            </w:r>
          </w:p>
          <w:p w:rsidR="00000000" w:rsidDel="00000000" w:rsidP="00000000" w:rsidRDefault="00000000" w:rsidRPr="00000000" w14:paraId="0000007A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 Poříčním právu 1/376</w:t>
            </w:r>
          </w:p>
          <w:p w:rsidR="00000000" w:rsidDel="00000000" w:rsidP="00000000" w:rsidRDefault="00000000" w:rsidRPr="00000000" w14:paraId="0000007B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128 01 Praha 2 </w:t>
            </w:r>
          </w:p>
          <w:p w:rsidR="00000000" w:rsidDel="00000000" w:rsidP="00000000" w:rsidRDefault="00000000" w:rsidRPr="00000000" w14:paraId="0000007C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Datová schránka: sc9aavg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D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Kontaktní údaje pověřence pro ochranu osobních údajů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E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Kontaktní údaje pověřence jsou uveřejněny na webových stránkách: https://www.mpsv.cz/web/cz/informace-o-zpracovani-osobnich-udaju-gdpr-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7F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Účel zpracování osobních údajů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0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Monitorovacím listu podpořené osoby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Právní základ pro zpracování osobních údajů</w:t>
            </w:r>
          </w:p>
        </w:tc>
      </w:tr>
      <w:tr>
        <w:trPr>
          <w:cantSplit w:val="1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</w:tbl>
    <w:p w:rsidR="00000000" w:rsidDel="00000000" w:rsidP="00000000" w:rsidRDefault="00000000" w:rsidRPr="00000000" w14:paraId="0000008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Ind w:w="-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Doba uchovávání osobních údajů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Poučení o právech podle čl. 13 a 14 Obecného nařízení o ochraně osobních údajů</w:t>
            </w:r>
          </w:p>
        </w:tc>
      </w:tr>
      <w:tr>
        <w:trPr>
          <w:cantSplit w:val="1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88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:rsidR="00000000" w:rsidDel="00000000" w:rsidP="00000000" w:rsidRDefault="00000000" w:rsidRPr="00000000" w14:paraId="00000089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000000" w:rsidDel="00000000" w:rsidP="00000000" w:rsidRDefault="00000000" w:rsidRPr="00000000" w14:paraId="0000008A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esf@mpsv.cz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Pokud se podpořená osoba domnívá, že zpracováním jejích osobních údajů bylo porušeno Obecné nařízení o ochraně osobních údajů, má právo podat stížnost u Úřadu pro ochranu osobních údajů.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Neposkytnutí osobních údajů může mít za následek nepodpoření v rámci projektu.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1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Využití informačních systémů MPSV a ČSSZ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7" w:top="1417" w:left="1417.3228346456694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072.0" w:type="dxa"/>
      <w:jc w:val="left"/>
      <w:tblLayout w:type="fixed"/>
      <w:tblLook w:val="0400"/>
    </w:tblPr>
    <w:tblGrid>
      <w:gridCol w:w="3024"/>
      <w:gridCol w:w="3025"/>
      <w:gridCol w:w="3023"/>
      <w:tblGridChange w:id="0">
        <w:tblGrid>
          <w:gridCol w:w="3024"/>
          <w:gridCol w:w="3025"/>
          <w:gridCol w:w="3023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57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Vzor účinný od 1. 4. 2022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57" w:right="57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57" w:right="57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Strana: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z 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708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072.0" w:type="dxa"/>
      <w:jc w:val="left"/>
      <w:tblLayout w:type="fixed"/>
      <w:tblLook w:val="0400"/>
    </w:tblPr>
    <w:tblGrid>
      <w:gridCol w:w="3024"/>
      <w:gridCol w:w="3025"/>
      <w:gridCol w:w="3023"/>
      <w:tblGridChange w:id="0">
        <w:tblGrid>
          <w:gridCol w:w="3024"/>
          <w:gridCol w:w="3025"/>
          <w:gridCol w:w="3023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57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Vzor účinný od 1. 4. 2022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57" w:right="57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57" w:right="57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Strana: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z 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80808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Osoba je považovaná za neaktivní, když není zaměstnaná (včetně OSVČ), ani registrovaná na Úřadu práce ČR (jako uchazeč o zaměstnání).</w:t>
      </w:r>
    </w:p>
  </w:footnote>
  <w:footnote w:id="1"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2"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„ISCED 1–2“ pokrývá nedokončené základní vzdělání až střední vzdělání bez maturity i výučního listu tj. praktické jednoleté. </w:t>
      </w:r>
    </w:p>
  </w:footnote>
  <w:footnote w:id="3"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„ISCED 3–4“ pokrývá střední vzdělání bez maturity i výučního listu tj. praktické dvouleté až pomaturitní a nástavbové studium.</w:t>
      </w:r>
    </w:p>
  </w:footnote>
  <w:footnote w:id="4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„ISCED 5–8“ pokrývá vyšší odborné vzdělání až vysokoškolské doktorské vzdělání (včetně vzdělání uvedeným stupňům odpovídajícího).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ISCED 9 – vzdělání jinde neuvedené.</w:t>
      </w:r>
    </w:p>
  </w:footnote>
  <w:footnote w:id="6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7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8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9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Osoby, jejichž rodiče se narodili mimo ČR nebo osoby, které mají české občanství, nicméně původem jsou cizinci </w:t>
      </w:r>
    </w:p>
  </w:footnote>
  <w:footnote w:id="10"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406.0629921259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Jedná se o osoby s jiným znevýhodněním, které kvůli svému znevýhodnění čelí sociálnímu vyloučení (např. osoby po výkonu trestu, osoby ohrožené závislostí, osoby s nedokončeným 1. stupněm základní školy atd.).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136F4"/>
    <w:pPr>
      <w:spacing w:after="220" w:line="240" w:lineRule="auto"/>
      <w:jc w:val="both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 w:val="1"/>
    <w:qFormat w:val="1"/>
    <w:rsid w:val="00F90DE6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 w:val="1"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F90DE6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 w:val="1"/>
    <w:rsid w:val="00F90DE6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F90DE6"/>
  </w:style>
  <w:style w:type="paragraph" w:styleId="Tabulkatext" w:customStyle="1">
    <w:name w:val="Tabulka text"/>
    <w:link w:val="TabulkatextChar"/>
    <w:uiPriority w:val="6"/>
    <w:qFormat w:val="1"/>
    <w:rsid w:val="00DF7652"/>
    <w:pPr>
      <w:spacing w:after="60" w:before="60" w:line="240" w:lineRule="auto"/>
      <w:ind w:left="57" w:right="57"/>
    </w:pPr>
    <w:rPr>
      <w:color w:val="080808"/>
      <w:sz w:val="20"/>
    </w:rPr>
  </w:style>
  <w:style w:type="character" w:styleId="TabulkatextChar" w:customStyle="1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 w:val="1"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 w:val="1"/>
    <w:rsid w:val="005136F4"/>
    <w:pPr>
      <w:ind w:left="720"/>
      <w:contextualSpacing w:val="1"/>
    </w:pPr>
  </w:style>
  <w:style w:type="character" w:styleId="OdstavecseseznamemChar" w:customStyle="1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styleId="Tabulkatext16" w:customStyle="1">
    <w:name w:val="Tabulka text16"/>
    <w:uiPriority w:val="6"/>
    <w:qFormat w:val="1"/>
    <w:rsid w:val="005136F4"/>
    <w:pPr>
      <w:spacing w:after="60" w:before="60" w:line="240" w:lineRule="auto"/>
      <w:ind w:left="57" w:right="57"/>
    </w:pPr>
    <w:rPr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esf@mpsv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3UOJGZKNsPbsWkK/gz1UkLQ6qQ==">AMUW2mUxmXvpTadbZeyPQxmtPxRAJK1YTBjtmHBgWurS4ywCTOfgs2aWISVE8E302NYVBkGHM04liMetHBXkFnRl7nzZ+GuO8QAF3jpcHKHjiJWhCqRI9Pg=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2022-11-23T16:07:00Z</dcterms:created>
</cp:coreProperties>
</file>